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50" w:type="dxa"/>
        <w:tblCellSpacing w:w="0" w:type="dxa"/>
        <w:tblCellMar>
          <w:left w:w="0" w:type="dxa"/>
          <w:right w:w="0" w:type="dxa"/>
        </w:tblCellMar>
        <w:tblLook w:val="04A0" w:firstRow="1" w:lastRow="0" w:firstColumn="1" w:lastColumn="0" w:noHBand="0" w:noVBand="1"/>
      </w:tblPr>
      <w:tblGrid>
        <w:gridCol w:w="1006"/>
        <w:gridCol w:w="2429"/>
        <w:gridCol w:w="1016"/>
        <w:gridCol w:w="2552"/>
        <w:gridCol w:w="1016"/>
        <w:gridCol w:w="4131"/>
      </w:tblGrid>
      <w:tr w:rsidR="00EC538C" w:rsidRPr="00EC538C" w:rsidTr="00EC538C">
        <w:trPr>
          <w:tblCellSpacing w:w="0" w:type="dxa"/>
        </w:trPr>
        <w:tc>
          <w:tcPr>
            <w:tcW w:w="1215" w:type="dxa"/>
            <w:tcBorders>
              <w:top w:val="nil"/>
              <w:left w:val="nil"/>
              <w:bottom w:val="nil"/>
              <w:right w:val="nil"/>
            </w:tcBorders>
            <w:hideMark/>
          </w:tcPr>
          <w:p w:rsidR="00EC538C" w:rsidRPr="00EC538C" w:rsidRDefault="00EC538C" w:rsidP="00EC538C">
            <w:pPr>
              <w:widowControl/>
              <w:spacing w:line="375" w:lineRule="atLeast"/>
              <w:jc w:val="left"/>
              <w:rPr>
                <w:rFonts w:ascii="宋体" w:eastAsia="宋体" w:hAnsi="宋体" w:cs="宋体"/>
                <w:b/>
                <w:bCs/>
                <w:color w:val="4B4B4B"/>
                <w:kern w:val="0"/>
                <w:szCs w:val="21"/>
              </w:rPr>
            </w:pPr>
            <w:r w:rsidRPr="00EC538C">
              <w:rPr>
                <w:rFonts w:ascii="宋体" w:eastAsia="宋体" w:hAnsi="宋体" w:cs="宋体" w:hint="eastAsia"/>
                <w:b/>
                <w:bCs/>
                <w:color w:val="4B4B4B"/>
                <w:kern w:val="0"/>
                <w:szCs w:val="21"/>
              </w:rPr>
              <w:t>信息名称：</w:t>
            </w:r>
          </w:p>
        </w:tc>
        <w:tc>
          <w:tcPr>
            <w:tcW w:w="0" w:type="auto"/>
            <w:gridSpan w:val="5"/>
            <w:tcBorders>
              <w:top w:val="nil"/>
              <w:left w:val="nil"/>
              <w:bottom w:val="nil"/>
              <w:right w:val="nil"/>
            </w:tcBorders>
            <w:hideMark/>
          </w:tcPr>
          <w:p w:rsidR="00EC538C" w:rsidRPr="00EC538C" w:rsidRDefault="00EC538C" w:rsidP="00EC538C">
            <w:pPr>
              <w:widowControl/>
              <w:spacing w:line="375" w:lineRule="atLeast"/>
              <w:jc w:val="left"/>
              <w:rPr>
                <w:rFonts w:ascii="宋体" w:eastAsia="宋体" w:hAnsi="宋体" w:cs="宋体"/>
                <w:b/>
                <w:bCs/>
                <w:color w:val="CC3300"/>
                <w:kern w:val="0"/>
                <w:szCs w:val="21"/>
              </w:rPr>
            </w:pPr>
            <w:r w:rsidRPr="00EC538C">
              <w:rPr>
                <w:rFonts w:ascii="宋体" w:eastAsia="宋体" w:hAnsi="宋体" w:cs="宋体" w:hint="eastAsia"/>
                <w:b/>
                <w:bCs/>
                <w:color w:val="CC3300"/>
                <w:kern w:val="0"/>
                <w:szCs w:val="21"/>
              </w:rPr>
              <w:t>教育部等五部门关于印发《教师教育振兴行动计划（2018—2022年）》的通知</w:t>
            </w:r>
          </w:p>
        </w:tc>
      </w:tr>
      <w:tr w:rsidR="00EC538C" w:rsidRPr="00EC538C" w:rsidTr="00EC538C">
        <w:trPr>
          <w:tblCellSpacing w:w="0" w:type="dxa"/>
        </w:trPr>
        <w:tc>
          <w:tcPr>
            <w:tcW w:w="1215" w:type="dxa"/>
            <w:tcBorders>
              <w:top w:val="nil"/>
              <w:left w:val="nil"/>
              <w:bottom w:val="nil"/>
              <w:right w:val="nil"/>
            </w:tcBorders>
            <w:hideMark/>
          </w:tcPr>
          <w:p w:rsidR="00EC538C" w:rsidRPr="00EC538C" w:rsidRDefault="00EC538C" w:rsidP="00EC538C">
            <w:pPr>
              <w:widowControl/>
              <w:spacing w:line="375" w:lineRule="atLeast"/>
              <w:jc w:val="left"/>
              <w:rPr>
                <w:rFonts w:ascii="宋体" w:eastAsia="宋体" w:hAnsi="宋体" w:cs="宋体"/>
                <w:b/>
                <w:bCs/>
                <w:color w:val="4B4B4B"/>
                <w:kern w:val="0"/>
                <w:szCs w:val="21"/>
              </w:rPr>
            </w:pPr>
            <w:r w:rsidRPr="00EC538C">
              <w:rPr>
                <w:rFonts w:ascii="宋体" w:eastAsia="宋体" w:hAnsi="宋体" w:cs="宋体" w:hint="eastAsia"/>
                <w:b/>
                <w:bCs/>
                <w:color w:val="4B4B4B"/>
                <w:kern w:val="0"/>
                <w:szCs w:val="21"/>
              </w:rPr>
              <w:t>信息索引：</w:t>
            </w:r>
          </w:p>
        </w:tc>
        <w:tc>
          <w:tcPr>
            <w:tcW w:w="1000" w:type="pct"/>
            <w:tcBorders>
              <w:top w:val="nil"/>
              <w:left w:val="nil"/>
              <w:bottom w:val="nil"/>
              <w:right w:val="nil"/>
            </w:tcBorders>
            <w:hideMark/>
          </w:tcPr>
          <w:p w:rsidR="00EC538C" w:rsidRPr="00EC538C" w:rsidRDefault="00EC538C" w:rsidP="00EC538C">
            <w:pPr>
              <w:widowControl/>
              <w:spacing w:line="375" w:lineRule="atLeast"/>
              <w:jc w:val="left"/>
              <w:rPr>
                <w:rFonts w:ascii="宋体" w:eastAsia="宋体" w:hAnsi="宋体" w:cs="宋体"/>
                <w:color w:val="4B4B4B"/>
                <w:kern w:val="0"/>
                <w:szCs w:val="21"/>
              </w:rPr>
            </w:pPr>
            <w:r w:rsidRPr="00EC538C">
              <w:rPr>
                <w:rFonts w:ascii="宋体" w:eastAsia="宋体" w:hAnsi="宋体" w:cs="宋体" w:hint="eastAsia"/>
                <w:color w:val="4B4B4B"/>
                <w:kern w:val="0"/>
                <w:szCs w:val="21"/>
              </w:rPr>
              <w:t>360A10-04-2018-0010-1</w:t>
            </w:r>
          </w:p>
        </w:tc>
        <w:tc>
          <w:tcPr>
            <w:tcW w:w="1215" w:type="dxa"/>
            <w:tcBorders>
              <w:top w:val="nil"/>
              <w:left w:val="nil"/>
              <w:bottom w:val="nil"/>
              <w:right w:val="nil"/>
            </w:tcBorders>
            <w:hideMark/>
          </w:tcPr>
          <w:p w:rsidR="00EC538C" w:rsidRPr="00EC538C" w:rsidRDefault="00EC538C" w:rsidP="00EC538C">
            <w:pPr>
              <w:widowControl/>
              <w:spacing w:line="375" w:lineRule="atLeast"/>
              <w:jc w:val="left"/>
              <w:rPr>
                <w:rFonts w:ascii="宋体" w:eastAsia="宋体" w:hAnsi="宋体" w:cs="宋体"/>
                <w:b/>
                <w:bCs/>
                <w:color w:val="4B4B4B"/>
                <w:kern w:val="0"/>
                <w:szCs w:val="21"/>
              </w:rPr>
            </w:pPr>
            <w:r w:rsidRPr="00EC538C">
              <w:rPr>
                <w:rFonts w:ascii="宋体" w:eastAsia="宋体" w:hAnsi="宋体" w:cs="宋体" w:hint="eastAsia"/>
                <w:b/>
                <w:bCs/>
                <w:color w:val="4B4B4B"/>
                <w:kern w:val="0"/>
                <w:szCs w:val="21"/>
              </w:rPr>
              <w:t>生成日期：</w:t>
            </w:r>
          </w:p>
        </w:tc>
        <w:tc>
          <w:tcPr>
            <w:tcW w:w="1050" w:type="pct"/>
            <w:tcBorders>
              <w:top w:val="nil"/>
              <w:left w:val="nil"/>
              <w:bottom w:val="nil"/>
              <w:right w:val="nil"/>
            </w:tcBorders>
            <w:hideMark/>
          </w:tcPr>
          <w:p w:rsidR="00EC538C" w:rsidRPr="00EC538C" w:rsidRDefault="00EC538C" w:rsidP="00EC538C">
            <w:pPr>
              <w:widowControl/>
              <w:spacing w:line="375" w:lineRule="atLeast"/>
              <w:jc w:val="left"/>
              <w:rPr>
                <w:rFonts w:ascii="宋体" w:eastAsia="宋体" w:hAnsi="宋体" w:cs="宋体"/>
                <w:color w:val="4B4B4B"/>
                <w:kern w:val="0"/>
                <w:szCs w:val="21"/>
              </w:rPr>
            </w:pPr>
            <w:r w:rsidRPr="00EC538C">
              <w:rPr>
                <w:rFonts w:ascii="宋体" w:eastAsia="宋体" w:hAnsi="宋体" w:cs="宋体" w:hint="eastAsia"/>
                <w:color w:val="4B4B4B"/>
                <w:kern w:val="0"/>
                <w:szCs w:val="21"/>
              </w:rPr>
              <w:t>2018-03-22</w:t>
            </w:r>
          </w:p>
        </w:tc>
        <w:tc>
          <w:tcPr>
            <w:tcW w:w="1215" w:type="dxa"/>
            <w:tcBorders>
              <w:top w:val="nil"/>
              <w:left w:val="nil"/>
              <w:bottom w:val="nil"/>
              <w:right w:val="nil"/>
            </w:tcBorders>
            <w:hideMark/>
          </w:tcPr>
          <w:p w:rsidR="00EC538C" w:rsidRPr="00EC538C" w:rsidRDefault="00EC538C" w:rsidP="00EC538C">
            <w:pPr>
              <w:widowControl/>
              <w:spacing w:line="375" w:lineRule="atLeast"/>
              <w:jc w:val="left"/>
              <w:rPr>
                <w:rFonts w:ascii="宋体" w:eastAsia="宋体" w:hAnsi="宋体" w:cs="宋体"/>
                <w:b/>
                <w:bCs/>
                <w:color w:val="4B4B4B"/>
                <w:kern w:val="0"/>
                <w:szCs w:val="21"/>
              </w:rPr>
            </w:pPr>
            <w:r w:rsidRPr="00EC538C">
              <w:rPr>
                <w:rFonts w:ascii="宋体" w:eastAsia="宋体" w:hAnsi="宋体" w:cs="宋体" w:hint="eastAsia"/>
                <w:b/>
                <w:bCs/>
                <w:color w:val="4B4B4B"/>
                <w:kern w:val="0"/>
                <w:szCs w:val="21"/>
              </w:rPr>
              <w:t>发文机构：</w:t>
            </w:r>
          </w:p>
        </w:tc>
        <w:tc>
          <w:tcPr>
            <w:tcW w:w="1700" w:type="pct"/>
            <w:tcBorders>
              <w:top w:val="nil"/>
              <w:left w:val="nil"/>
              <w:bottom w:val="nil"/>
              <w:right w:val="nil"/>
            </w:tcBorders>
            <w:hideMark/>
          </w:tcPr>
          <w:p w:rsidR="00EC538C" w:rsidRPr="00EC538C" w:rsidRDefault="00EC538C" w:rsidP="00EC538C">
            <w:pPr>
              <w:widowControl/>
              <w:spacing w:line="375" w:lineRule="atLeast"/>
              <w:jc w:val="left"/>
              <w:rPr>
                <w:rFonts w:ascii="宋体" w:eastAsia="宋体" w:hAnsi="宋体" w:cs="宋体"/>
                <w:color w:val="4B4B4B"/>
                <w:kern w:val="0"/>
                <w:szCs w:val="21"/>
              </w:rPr>
            </w:pPr>
            <w:r w:rsidRPr="00EC538C">
              <w:rPr>
                <w:rFonts w:ascii="宋体" w:eastAsia="宋体" w:hAnsi="宋体" w:cs="宋体" w:hint="eastAsia"/>
                <w:color w:val="4B4B4B"/>
                <w:kern w:val="0"/>
                <w:szCs w:val="21"/>
              </w:rPr>
              <w:t>教育部等五部门</w:t>
            </w:r>
          </w:p>
        </w:tc>
      </w:tr>
      <w:tr w:rsidR="00EC538C" w:rsidRPr="00EC538C" w:rsidTr="00EC538C">
        <w:trPr>
          <w:tblCellSpacing w:w="0" w:type="dxa"/>
        </w:trPr>
        <w:tc>
          <w:tcPr>
            <w:tcW w:w="1215" w:type="dxa"/>
            <w:tcBorders>
              <w:top w:val="nil"/>
              <w:left w:val="nil"/>
              <w:bottom w:val="nil"/>
              <w:right w:val="nil"/>
            </w:tcBorders>
            <w:hideMark/>
          </w:tcPr>
          <w:p w:rsidR="00EC538C" w:rsidRPr="00EC538C" w:rsidRDefault="00EC538C" w:rsidP="00EC538C">
            <w:pPr>
              <w:widowControl/>
              <w:spacing w:line="375" w:lineRule="atLeast"/>
              <w:jc w:val="left"/>
              <w:rPr>
                <w:rFonts w:ascii="宋体" w:eastAsia="宋体" w:hAnsi="宋体" w:cs="宋体"/>
                <w:b/>
                <w:bCs/>
                <w:color w:val="4B4B4B"/>
                <w:kern w:val="0"/>
                <w:szCs w:val="21"/>
              </w:rPr>
            </w:pPr>
            <w:r w:rsidRPr="00EC538C">
              <w:rPr>
                <w:rFonts w:ascii="宋体" w:eastAsia="宋体" w:hAnsi="宋体" w:cs="宋体" w:hint="eastAsia"/>
                <w:b/>
                <w:bCs/>
                <w:color w:val="4B4B4B"/>
                <w:kern w:val="0"/>
                <w:szCs w:val="21"/>
              </w:rPr>
              <w:t>发文字号：</w:t>
            </w:r>
          </w:p>
        </w:tc>
        <w:tc>
          <w:tcPr>
            <w:tcW w:w="0" w:type="auto"/>
            <w:tcBorders>
              <w:top w:val="nil"/>
              <w:left w:val="nil"/>
              <w:bottom w:val="nil"/>
              <w:right w:val="nil"/>
            </w:tcBorders>
            <w:hideMark/>
          </w:tcPr>
          <w:p w:rsidR="00EC538C" w:rsidRPr="00EC538C" w:rsidRDefault="00EC538C" w:rsidP="00EC538C">
            <w:pPr>
              <w:widowControl/>
              <w:spacing w:line="375" w:lineRule="atLeast"/>
              <w:jc w:val="left"/>
              <w:rPr>
                <w:rFonts w:ascii="宋体" w:eastAsia="宋体" w:hAnsi="宋体" w:cs="宋体"/>
                <w:color w:val="4B4B4B"/>
                <w:kern w:val="0"/>
                <w:szCs w:val="21"/>
              </w:rPr>
            </w:pPr>
            <w:r w:rsidRPr="00EC538C">
              <w:rPr>
                <w:rFonts w:ascii="宋体" w:eastAsia="宋体" w:hAnsi="宋体" w:cs="宋体" w:hint="eastAsia"/>
                <w:color w:val="4B4B4B"/>
                <w:kern w:val="0"/>
                <w:szCs w:val="21"/>
              </w:rPr>
              <w:t>教师〔2018〕2号</w:t>
            </w:r>
          </w:p>
        </w:tc>
        <w:tc>
          <w:tcPr>
            <w:tcW w:w="1215" w:type="dxa"/>
            <w:tcBorders>
              <w:top w:val="nil"/>
              <w:left w:val="nil"/>
              <w:bottom w:val="nil"/>
              <w:right w:val="nil"/>
            </w:tcBorders>
            <w:hideMark/>
          </w:tcPr>
          <w:p w:rsidR="00EC538C" w:rsidRPr="00EC538C" w:rsidRDefault="00EC538C" w:rsidP="00EC538C">
            <w:pPr>
              <w:widowControl/>
              <w:spacing w:line="375" w:lineRule="atLeast"/>
              <w:jc w:val="left"/>
              <w:rPr>
                <w:rFonts w:ascii="宋体" w:eastAsia="宋体" w:hAnsi="宋体" w:cs="宋体"/>
                <w:b/>
                <w:bCs/>
                <w:color w:val="4B4B4B"/>
                <w:kern w:val="0"/>
                <w:szCs w:val="21"/>
              </w:rPr>
            </w:pPr>
            <w:r w:rsidRPr="00EC538C">
              <w:rPr>
                <w:rFonts w:ascii="宋体" w:eastAsia="宋体" w:hAnsi="宋体" w:cs="宋体" w:hint="eastAsia"/>
                <w:b/>
                <w:bCs/>
                <w:color w:val="4B4B4B"/>
                <w:kern w:val="0"/>
                <w:szCs w:val="21"/>
              </w:rPr>
              <w:t>信息类别：</w:t>
            </w:r>
          </w:p>
        </w:tc>
        <w:tc>
          <w:tcPr>
            <w:tcW w:w="0" w:type="auto"/>
            <w:gridSpan w:val="3"/>
            <w:tcBorders>
              <w:top w:val="nil"/>
              <w:left w:val="nil"/>
              <w:bottom w:val="nil"/>
              <w:right w:val="nil"/>
            </w:tcBorders>
            <w:hideMark/>
          </w:tcPr>
          <w:p w:rsidR="00EC538C" w:rsidRPr="00EC538C" w:rsidRDefault="00EC538C" w:rsidP="00EC538C">
            <w:pPr>
              <w:widowControl/>
              <w:spacing w:line="375" w:lineRule="atLeast"/>
              <w:jc w:val="left"/>
              <w:rPr>
                <w:rFonts w:ascii="宋体" w:eastAsia="宋体" w:hAnsi="宋体" w:cs="宋体"/>
                <w:color w:val="4B4B4B"/>
                <w:kern w:val="0"/>
                <w:szCs w:val="21"/>
              </w:rPr>
            </w:pPr>
            <w:r w:rsidRPr="00EC538C">
              <w:rPr>
                <w:rFonts w:ascii="宋体" w:eastAsia="宋体" w:hAnsi="宋体" w:cs="宋体" w:hint="eastAsia"/>
                <w:color w:val="4B4B4B"/>
                <w:kern w:val="0"/>
                <w:szCs w:val="21"/>
              </w:rPr>
              <w:t>教育综合管理</w:t>
            </w:r>
          </w:p>
        </w:tc>
      </w:tr>
      <w:tr w:rsidR="00EC538C" w:rsidRPr="00EC538C" w:rsidTr="00EC538C">
        <w:trPr>
          <w:tblCellSpacing w:w="0" w:type="dxa"/>
        </w:trPr>
        <w:tc>
          <w:tcPr>
            <w:tcW w:w="1215" w:type="dxa"/>
            <w:tcBorders>
              <w:top w:val="nil"/>
              <w:left w:val="nil"/>
              <w:bottom w:val="nil"/>
              <w:right w:val="nil"/>
            </w:tcBorders>
            <w:hideMark/>
          </w:tcPr>
          <w:p w:rsidR="00EC538C" w:rsidRPr="00EC538C" w:rsidRDefault="00EC538C" w:rsidP="00EC538C">
            <w:pPr>
              <w:widowControl/>
              <w:spacing w:line="375" w:lineRule="atLeast"/>
              <w:jc w:val="left"/>
              <w:rPr>
                <w:rFonts w:ascii="宋体" w:eastAsia="宋体" w:hAnsi="宋体" w:cs="宋体"/>
                <w:b/>
                <w:bCs/>
                <w:color w:val="4B4B4B"/>
                <w:kern w:val="0"/>
                <w:szCs w:val="21"/>
              </w:rPr>
            </w:pPr>
            <w:r w:rsidRPr="00EC538C">
              <w:rPr>
                <w:rFonts w:ascii="宋体" w:eastAsia="宋体" w:hAnsi="宋体" w:cs="宋体" w:hint="eastAsia"/>
                <w:b/>
                <w:bCs/>
                <w:color w:val="4B4B4B"/>
                <w:kern w:val="0"/>
                <w:szCs w:val="21"/>
              </w:rPr>
              <w:t>内容概述：</w:t>
            </w:r>
          </w:p>
        </w:tc>
        <w:tc>
          <w:tcPr>
            <w:tcW w:w="0" w:type="auto"/>
            <w:gridSpan w:val="5"/>
            <w:tcBorders>
              <w:top w:val="nil"/>
              <w:left w:val="nil"/>
              <w:bottom w:val="nil"/>
              <w:right w:val="nil"/>
            </w:tcBorders>
            <w:hideMark/>
          </w:tcPr>
          <w:p w:rsidR="00EC538C" w:rsidRPr="00EC538C" w:rsidRDefault="00EC538C" w:rsidP="00EC538C">
            <w:pPr>
              <w:widowControl/>
              <w:spacing w:line="375" w:lineRule="atLeast"/>
              <w:jc w:val="left"/>
              <w:rPr>
                <w:rFonts w:ascii="宋体" w:eastAsia="宋体" w:hAnsi="宋体" w:cs="宋体"/>
                <w:color w:val="4B4B4B"/>
                <w:kern w:val="0"/>
                <w:szCs w:val="21"/>
              </w:rPr>
            </w:pPr>
            <w:r w:rsidRPr="00EC538C">
              <w:rPr>
                <w:rFonts w:ascii="宋体" w:eastAsia="宋体" w:hAnsi="宋体" w:cs="宋体" w:hint="eastAsia"/>
                <w:color w:val="4B4B4B"/>
                <w:kern w:val="0"/>
                <w:szCs w:val="21"/>
              </w:rPr>
              <w:t>教育部等五部门印发《教师教育振兴行动计划（2018—2022年）》。</w:t>
            </w:r>
          </w:p>
        </w:tc>
      </w:tr>
    </w:tbl>
    <w:p w:rsidR="00EC538C" w:rsidRPr="00EC538C" w:rsidRDefault="00EC538C" w:rsidP="00EC538C">
      <w:pPr>
        <w:widowControl/>
        <w:jc w:val="center"/>
        <w:outlineLvl w:val="0"/>
        <w:rPr>
          <w:rFonts w:ascii="微软雅黑" w:eastAsia="微软雅黑" w:hAnsi="微软雅黑" w:cs="Times New Roman"/>
          <w:b/>
          <w:bCs/>
          <w:color w:val="4B4B4B"/>
          <w:kern w:val="36"/>
          <w:sz w:val="30"/>
          <w:szCs w:val="30"/>
        </w:rPr>
      </w:pPr>
      <w:r w:rsidRPr="00EC538C">
        <w:rPr>
          <w:rFonts w:ascii="微软雅黑" w:eastAsia="微软雅黑" w:hAnsi="微软雅黑" w:cs="Times New Roman" w:hint="eastAsia"/>
          <w:b/>
          <w:bCs/>
          <w:color w:val="4B4B4B"/>
          <w:kern w:val="36"/>
          <w:sz w:val="30"/>
          <w:szCs w:val="30"/>
        </w:rPr>
        <w:t>教育部等五部门关于印发《教师教育振兴</w:t>
      </w:r>
      <w:r w:rsidRPr="00EC538C">
        <w:rPr>
          <w:rFonts w:ascii="微软雅黑" w:eastAsia="微软雅黑" w:hAnsi="微软雅黑" w:cs="Times New Roman" w:hint="eastAsia"/>
          <w:b/>
          <w:bCs/>
          <w:color w:val="4B4B4B"/>
          <w:kern w:val="36"/>
          <w:sz w:val="30"/>
          <w:szCs w:val="30"/>
        </w:rPr>
        <w:br/>
        <w:t>行动计划（2018—2022年）》的通知</w:t>
      </w:r>
    </w:p>
    <w:p w:rsidR="00EC538C" w:rsidRPr="00EC538C" w:rsidRDefault="00EC538C" w:rsidP="00EC538C">
      <w:pPr>
        <w:widowControl/>
        <w:spacing w:line="480" w:lineRule="atLeast"/>
        <w:jc w:val="right"/>
        <w:rPr>
          <w:rFonts w:ascii="微软雅黑" w:eastAsia="微软雅黑" w:hAnsi="微软雅黑" w:cs="Times New Roman" w:hint="eastAsia"/>
          <w:b/>
          <w:bCs/>
          <w:color w:val="4B4B4B"/>
          <w:kern w:val="0"/>
          <w:sz w:val="24"/>
          <w:szCs w:val="24"/>
        </w:rPr>
      </w:pPr>
      <w:r w:rsidRPr="00EC538C">
        <w:rPr>
          <w:rFonts w:ascii="微软雅黑" w:eastAsia="微软雅黑" w:hAnsi="微软雅黑" w:cs="Times New Roman" w:hint="eastAsia"/>
          <w:b/>
          <w:bCs/>
          <w:color w:val="4B4B4B"/>
          <w:kern w:val="0"/>
          <w:sz w:val="24"/>
          <w:szCs w:val="24"/>
        </w:rPr>
        <w:t>教师〔2018〕2号</w:t>
      </w:r>
    </w:p>
    <w:p w:rsidR="00EC538C" w:rsidRPr="00EC538C" w:rsidRDefault="00EC538C" w:rsidP="00EC538C">
      <w:pPr>
        <w:widowControl/>
        <w:spacing w:line="0" w:lineRule="atLeast"/>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各省、自治区、直辖市教育厅（教委）、发展改革委、财政厅（局）、人力资源和社会保障厅（局）、编办，新疆生产建设兵团教育局、发展改革委、财政局、人事局、劳动和社会保障局、编办：</w:t>
      </w:r>
    </w:p>
    <w:p w:rsidR="00EC538C" w:rsidRPr="00EC538C" w:rsidRDefault="00EC538C" w:rsidP="00EC538C">
      <w:pPr>
        <w:widowControl/>
        <w:spacing w:line="0" w:lineRule="atLeast"/>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现将《教师教育振兴行动计划（2018—2022年）》印发给你们，请结合实际认真贯彻执行。</w:t>
      </w:r>
    </w:p>
    <w:p w:rsidR="00EC538C" w:rsidRPr="00EC538C" w:rsidRDefault="00EC538C" w:rsidP="00EC538C">
      <w:pPr>
        <w:widowControl/>
        <w:spacing w:line="0" w:lineRule="atLeast"/>
        <w:jc w:val="righ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教育部 国家发展改革委</w:t>
      </w:r>
    </w:p>
    <w:p w:rsidR="00EC538C" w:rsidRPr="00EC538C" w:rsidRDefault="00EC538C" w:rsidP="00EC538C">
      <w:pPr>
        <w:widowControl/>
        <w:spacing w:line="0" w:lineRule="atLeast"/>
        <w:jc w:val="righ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财政部 </w:t>
      </w:r>
      <w:bookmarkStart w:id="0" w:name="_GoBack"/>
      <w:bookmarkEnd w:id="0"/>
      <w:r w:rsidRPr="00EC538C">
        <w:rPr>
          <w:rFonts w:ascii="微软雅黑" w:eastAsia="微软雅黑" w:hAnsi="微软雅黑" w:cs="Times New Roman" w:hint="eastAsia"/>
          <w:color w:val="4B4B4B"/>
          <w:kern w:val="0"/>
          <w:sz w:val="24"/>
          <w:szCs w:val="24"/>
        </w:rPr>
        <w:t>人力资源社会保障部 中央编办</w:t>
      </w:r>
    </w:p>
    <w:p w:rsidR="00EC538C" w:rsidRPr="00EC538C" w:rsidRDefault="00EC538C" w:rsidP="00EC538C">
      <w:pPr>
        <w:widowControl/>
        <w:spacing w:line="0" w:lineRule="atLeast"/>
        <w:jc w:val="righ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2018年2月11日</w:t>
      </w:r>
    </w:p>
    <w:p w:rsidR="00EC538C" w:rsidRPr="00EC538C" w:rsidRDefault="00EC538C" w:rsidP="00EC538C">
      <w:pPr>
        <w:widowControl/>
        <w:spacing w:line="0" w:lineRule="atLeast"/>
        <w:jc w:val="center"/>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b/>
          <w:bCs/>
          <w:color w:val="4B4B4B"/>
          <w:kern w:val="0"/>
          <w:sz w:val="24"/>
          <w:szCs w:val="24"/>
          <w:bdr w:val="none" w:sz="0" w:space="0" w:color="auto" w:frame="1"/>
        </w:rPr>
        <w:t>教师教育振兴行动计划</w:t>
      </w:r>
    </w:p>
    <w:p w:rsidR="00EC538C" w:rsidRPr="00EC538C" w:rsidRDefault="00EC538C" w:rsidP="00EC538C">
      <w:pPr>
        <w:widowControl/>
        <w:spacing w:line="0" w:lineRule="atLeast"/>
        <w:jc w:val="center"/>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b/>
          <w:bCs/>
          <w:color w:val="4B4B4B"/>
          <w:kern w:val="0"/>
          <w:sz w:val="24"/>
          <w:szCs w:val="24"/>
          <w:bdr w:val="none" w:sz="0" w:space="0" w:color="auto" w:frame="1"/>
        </w:rPr>
        <w:t>（2018—2022年）</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教师教育是教育事业的工作母机，是提升教育质量的动力源泉。为深入认真贯彻习近平新时代中国特色社会主义思想和党的十九大精神，根据《中共中央 国务院关于全面深化新时代教师队伍建设改革的意见》（中发〔2018〕4号）的决策部署，按照国民经济和社会发展第十三个五年规划纲要及国家教育事业发展“十三五”规划工作要求，采取切实措施建</w:t>
      </w:r>
      <w:proofErr w:type="gramStart"/>
      <w:r w:rsidRPr="00EC538C">
        <w:rPr>
          <w:rFonts w:ascii="微软雅黑" w:eastAsia="微软雅黑" w:hAnsi="微软雅黑" w:cs="Times New Roman" w:hint="eastAsia"/>
          <w:color w:val="4B4B4B"/>
          <w:kern w:val="0"/>
          <w:sz w:val="24"/>
          <w:szCs w:val="24"/>
        </w:rPr>
        <w:t>强做优教师</w:t>
      </w:r>
      <w:proofErr w:type="gramEnd"/>
      <w:r w:rsidRPr="00EC538C">
        <w:rPr>
          <w:rFonts w:ascii="微软雅黑" w:eastAsia="微软雅黑" w:hAnsi="微软雅黑" w:cs="Times New Roman" w:hint="eastAsia"/>
          <w:color w:val="4B4B4B"/>
          <w:kern w:val="0"/>
          <w:sz w:val="24"/>
          <w:szCs w:val="24"/>
        </w:rPr>
        <w:t>教育，推动教师教育改革发展，全面提升教师素质能力，努力建设一支高素质专业化创新型教师队伍，特制定教师教育振兴行动计划。</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w:t>
      </w:r>
      <w:r w:rsidRPr="00EC538C">
        <w:rPr>
          <w:rFonts w:ascii="微软雅黑" w:eastAsia="微软雅黑" w:hAnsi="微软雅黑" w:cs="Times New Roman" w:hint="eastAsia"/>
          <w:b/>
          <w:bCs/>
          <w:color w:val="4B4B4B"/>
          <w:kern w:val="0"/>
          <w:sz w:val="24"/>
          <w:szCs w:val="24"/>
          <w:bdr w:val="none" w:sz="0" w:space="0" w:color="auto" w:frame="1"/>
        </w:rPr>
        <w:t>一、指导思想</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以习近平新时代中国特色社会主义思想为指导，全面学习贯彻党的十九大精神，紧紧围绕统筹推进“五位一体”总体布局和协调推进“四个全面”战略布局，</w:t>
      </w:r>
      <w:r w:rsidRPr="00EC538C">
        <w:rPr>
          <w:rFonts w:ascii="微软雅黑" w:eastAsia="微软雅黑" w:hAnsi="微软雅黑" w:cs="Times New Roman" w:hint="eastAsia"/>
          <w:color w:val="4B4B4B"/>
          <w:kern w:val="0"/>
          <w:sz w:val="24"/>
          <w:szCs w:val="24"/>
        </w:rPr>
        <w:lastRenderedPageBreak/>
        <w:t>坚持和加强党的全面领导，坚持以人民为中心的发展思想，坚持全面深化改革，牢固树立新发展理念，全面贯彻党的教育方针，坚持社会主义办学方向，落实立德树人根本任务，主动适应教育现代化对教师队伍的新要求，遵循教育规律和教师成长发展规律，着眼长远，立足当前，以提升教师教育质量为核心，以加强教师教育体系建设为支撑，以教师教育供给侧结构性改革为动力，推进教师教育创新、协调、绿色、开放、共享发展，从源头上加强教师队伍建设，着力培养</w:t>
      </w:r>
      <w:proofErr w:type="gramStart"/>
      <w:r w:rsidRPr="00EC538C">
        <w:rPr>
          <w:rFonts w:ascii="微软雅黑" w:eastAsia="微软雅黑" w:hAnsi="微软雅黑" w:cs="Times New Roman" w:hint="eastAsia"/>
          <w:color w:val="4B4B4B"/>
          <w:kern w:val="0"/>
          <w:sz w:val="24"/>
          <w:szCs w:val="24"/>
        </w:rPr>
        <w:t>造就党</w:t>
      </w:r>
      <w:proofErr w:type="gramEnd"/>
      <w:r w:rsidRPr="00EC538C">
        <w:rPr>
          <w:rFonts w:ascii="微软雅黑" w:eastAsia="微软雅黑" w:hAnsi="微软雅黑" w:cs="Times New Roman" w:hint="eastAsia"/>
          <w:color w:val="4B4B4B"/>
          <w:kern w:val="0"/>
          <w:sz w:val="24"/>
          <w:szCs w:val="24"/>
        </w:rPr>
        <w:t>和人民满意的师德高尚、业务精湛、结构合理、充满活力的教师队伍。</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w:t>
      </w:r>
      <w:r w:rsidRPr="00EC538C">
        <w:rPr>
          <w:rFonts w:ascii="微软雅黑" w:eastAsia="微软雅黑" w:hAnsi="微软雅黑" w:cs="Times New Roman" w:hint="eastAsia"/>
          <w:b/>
          <w:bCs/>
          <w:color w:val="4B4B4B"/>
          <w:kern w:val="0"/>
          <w:sz w:val="24"/>
          <w:szCs w:val="24"/>
          <w:bdr w:val="none" w:sz="0" w:space="0" w:color="auto" w:frame="1"/>
        </w:rPr>
        <w:t>二、目标任务</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经过5年左右努力，办好一批高水平、有特色的教师教育院校和师范类专业，教师培养培训体系基本健全，为我国教师教育的长期可持续发展奠定坚实基础。师德教育显著加强，教师培养培训的内容方式不断优化，教师综合素质、专业化水平和创新能力显著提升，为发展更高质量更加公平的教育提供强有力的师资保障和人才支撑。</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落实师德教育新要求，增强师德教育实效性。将学习贯彻习近平总书记对教师的殷切希望和要求作为教师师德教育的首要任务和重点内容。加强师德养成教育，用“四有好老师”标准、“四个引路人”、“四个相统一”和“四个服务”等要求，统领教师成长发展，细化落实到教师教育课程，引导教师以德立身、以德立学、以德施教、以德育德。</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提升培养规格层次，夯实国民教育保障基础。全面提高师范生的综合素养与能力水平。根据各地实际，为义务教育学校培养更多接受过高质量教师教育的素质全面、业务见长的本科层次教师，为普通高中培养更多专业突出、底蕴深厚的研究生层次教师，为中等职业学校（含技工学校，下同）大幅增加培养具</w:t>
      </w:r>
      <w:r w:rsidRPr="00EC538C">
        <w:rPr>
          <w:rFonts w:ascii="微软雅黑" w:eastAsia="微软雅黑" w:hAnsi="微软雅黑" w:cs="Times New Roman" w:hint="eastAsia"/>
          <w:color w:val="4B4B4B"/>
          <w:kern w:val="0"/>
          <w:sz w:val="24"/>
          <w:szCs w:val="24"/>
        </w:rPr>
        <w:lastRenderedPageBreak/>
        <w:t>有</w:t>
      </w:r>
      <w:proofErr w:type="gramStart"/>
      <w:r w:rsidRPr="00EC538C">
        <w:rPr>
          <w:rFonts w:ascii="微软雅黑" w:eastAsia="微软雅黑" w:hAnsi="微软雅黑" w:cs="Times New Roman" w:hint="eastAsia"/>
          <w:color w:val="4B4B4B"/>
          <w:kern w:val="0"/>
          <w:sz w:val="24"/>
          <w:szCs w:val="24"/>
        </w:rPr>
        <w:t>精湛实践</w:t>
      </w:r>
      <w:proofErr w:type="gramEnd"/>
      <w:r w:rsidRPr="00EC538C">
        <w:rPr>
          <w:rFonts w:ascii="微软雅黑" w:eastAsia="微软雅黑" w:hAnsi="微软雅黑" w:cs="Times New Roman" w:hint="eastAsia"/>
          <w:color w:val="4B4B4B"/>
          <w:kern w:val="0"/>
          <w:sz w:val="24"/>
          <w:szCs w:val="24"/>
        </w:rPr>
        <w:t>技能的“双师型”专业课教师，为幼儿园培养一大批关爱幼儿、擅长保教的学前教育专业专科以上学历教师，教师培养规格层次满足保障国民教育和创新人才培养的需要。</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改善教师资源供给，促进教育公平发展。加强中西部地区和乡村学校教师培养，重点为边远、贫困、民族地区教育精准扶贫提供师资保障。支持中西部地区提升师范专业办学能力。推进本土化培养，面向师资补充困难地区逐步扩大乡村教师公费定向培养规模，为乡村学校培养 “下得去、留得住、教得好、有发展”的合格教师。建立健全乡村教师成长发展的支持服务体系，高质量开展乡村教师全员培训，培训的针对性和实效性不断提高。</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创新教师教育模式，培养未来卓越教师。吸引优秀人才从教，师范生生源质量显著提高，用优秀的人去培养更优秀的人。注重协同育人，注重教学基本功训练和实践教学，注重课程内容不断更新，注重信息技术应用能力，教师教育新形态基本形成。师范生与在职教师的社会责任感、创新精神和实践能力不断增强。</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发挥师范院校主体作用，加强教师教育体系建设。加大对师范院校的支持力度，不断优化教师教育布局结构，基本形成以国家教师教育基地为引领、师范院校为主体、高水平综合大学参与、教师发展机构为纽带、优质中小学为实践基地的开放、协同、联动的现代教师教育体系。</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w:t>
      </w:r>
      <w:r w:rsidRPr="00EC538C">
        <w:rPr>
          <w:rFonts w:ascii="微软雅黑" w:eastAsia="微软雅黑" w:hAnsi="微软雅黑" w:cs="Times New Roman" w:hint="eastAsia"/>
          <w:b/>
          <w:bCs/>
          <w:color w:val="4B4B4B"/>
          <w:kern w:val="0"/>
          <w:sz w:val="24"/>
          <w:szCs w:val="24"/>
          <w:bdr w:val="none" w:sz="0" w:space="0" w:color="auto" w:frame="1"/>
        </w:rPr>
        <w:t>三、主要措施</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（一）师德养成教育全面推进行动。研制出台在教师培养培训中加强师德教育的文件和师德修养教师培训课程指导标准。将师德教育贯穿教师教育全过程，作为师范生培养和教师培训课程的必修模块。培育和</w:t>
      </w:r>
      <w:proofErr w:type="gramStart"/>
      <w:r w:rsidRPr="00EC538C">
        <w:rPr>
          <w:rFonts w:ascii="微软雅黑" w:eastAsia="微软雅黑" w:hAnsi="微软雅黑" w:cs="Times New Roman" w:hint="eastAsia"/>
          <w:color w:val="4B4B4B"/>
          <w:kern w:val="0"/>
          <w:sz w:val="24"/>
          <w:szCs w:val="24"/>
        </w:rPr>
        <w:t>践行</w:t>
      </w:r>
      <w:proofErr w:type="gramEnd"/>
      <w:r w:rsidRPr="00EC538C">
        <w:rPr>
          <w:rFonts w:ascii="微软雅黑" w:eastAsia="微软雅黑" w:hAnsi="微软雅黑" w:cs="Times New Roman" w:hint="eastAsia"/>
          <w:color w:val="4B4B4B"/>
          <w:kern w:val="0"/>
          <w:sz w:val="24"/>
          <w:szCs w:val="24"/>
        </w:rPr>
        <w:t>社会主义核心价值观，</w:t>
      </w:r>
      <w:r w:rsidRPr="00EC538C">
        <w:rPr>
          <w:rFonts w:ascii="微软雅黑" w:eastAsia="微软雅黑" w:hAnsi="微软雅黑" w:cs="Times New Roman" w:hint="eastAsia"/>
          <w:color w:val="4B4B4B"/>
          <w:kern w:val="0"/>
          <w:sz w:val="24"/>
          <w:szCs w:val="24"/>
        </w:rPr>
        <w:lastRenderedPageBreak/>
        <w:t>引导教师全面落实到教育教学实践中。制订教师法治培训大纲，开展法治教育，提升教师法治素养和依法执教能力。在师范生和在职教师中广泛开展中华优秀传统文化教育，注重通过中华优秀传统文化涵养师德，通过经典诵读、开设专门课程、组织专题培训等形式，汲取文化精髓，传承中华师道。将教书育人楷模、一线优秀教师校长请进课堂，采取组织公益支教、志愿服务等方式，着力培育师范生的教师职业认同和社会责任感。借助新闻媒体平台，组织开展师范生“师德第一课”系列活动。每年利用教师节后一周时间开展“师德活动周”活动。发掘师德先进典型，弘扬当代教师风采，大力宣传阳光美丽、爱岗敬业、默默奉献的新时代优秀教师形象。</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（二）教师培养层次提升行动。引导支持办好师范类本科专业，加大义务教育阶段学校本科层次教师培养力度。按照有关程序办法，增加一批教育硕士专业学位授权点。引导鼓励有关高校扩大教育硕士招生规模, 对教师教育院校</w:t>
      </w:r>
      <w:proofErr w:type="gramStart"/>
      <w:r w:rsidRPr="00EC538C">
        <w:rPr>
          <w:rFonts w:ascii="微软雅黑" w:eastAsia="微软雅黑" w:hAnsi="微软雅黑" w:cs="Times New Roman" w:hint="eastAsia"/>
          <w:color w:val="4B4B4B"/>
          <w:kern w:val="0"/>
          <w:sz w:val="24"/>
          <w:szCs w:val="24"/>
        </w:rPr>
        <w:t>研究生推免指标</w:t>
      </w:r>
      <w:proofErr w:type="gramEnd"/>
      <w:r w:rsidRPr="00EC538C">
        <w:rPr>
          <w:rFonts w:ascii="微软雅黑" w:eastAsia="微软雅黑" w:hAnsi="微软雅黑" w:cs="Times New Roman" w:hint="eastAsia"/>
          <w:color w:val="4B4B4B"/>
          <w:kern w:val="0"/>
          <w:sz w:val="24"/>
          <w:szCs w:val="24"/>
        </w:rPr>
        <w:t>予以统筹支持。支持探索普通高中、中等职业学校教师本科和教育硕士研究生阶段整体设计、分段考核、有机衔接的培养模式。适当增加教育博士专业学位授权点，引导鼓励有关高校扩大教育博士招生规模，面向基础教育、职业教育教师校长，完善教育博士选拔培养方案。办好一批幼儿师范高等专科学校和若干所幼儿师范学院。各地根据学前教育发展的实际需求，扩大专科以上层次幼儿园教师培养规模。支持师范院校扩大特殊教育专业招生规模，加大特殊教育领域教育硕士培养力度。</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（三）乡村教师素质提高行动。各地要以集中连片</w:t>
      </w:r>
      <w:proofErr w:type="gramStart"/>
      <w:r w:rsidRPr="00EC538C">
        <w:rPr>
          <w:rFonts w:ascii="微软雅黑" w:eastAsia="微软雅黑" w:hAnsi="微软雅黑" w:cs="Times New Roman" w:hint="eastAsia"/>
          <w:color w:val="4B4B4B"/>
          <w:kern w:val="0"/>
          <w:sz w:val="24"/>
          <w:szCs w:val="24"/>
        </w:rPr>
        <w:t>特困地</w:t>
      </w:r>
      <w:proofErr w:type="gramEnd"/>
      <w:r w:rsidRPr="00EC538C">
        <w:rPr>
          <w:rFonts w:ascii="微软雅黑" w:eastAsia="微软雅黑" w:hAnsi="微软雅黑" w:cs="Times New Roman" w:hint="eastAsia"/>
          <w:color w:val="4B4B4B"/>
          <w:kern w:val="0"/>
          <w:sz w:val="24"/>
          <w:szCs w:val="24"/>
        </w:rPr>
        <w:t>区县和国家级贫困县为重点，通过公费定向培养、到岗退费等多种方式，为乡村小学培养补充全科教师，为乡村初中培养补充“一专多能”教师，优先满足老少边穷岛等边远贫困</w:t>
      </w:r>
      <w:r w:rsidRPr="00EC538C">
        <w:rPr>
          <w:rFonts w:ascii="微软雅黑" w:eastAsia="微软雅黑" w:hAnsi="微软雅黑" w:cs="Times New Roman" w:hint="eastAsia"/>
          <w:color w:val="4B4B4B"/>
          <w:kern w:val="0"/>
          <w:sz w:val="24"/>
          <w:szCs w:val="24"/>
        </w:rPr>
        <w:lastRenderedPageBreak/>
        <w:t>地区教师补充需要。加大紧缺薄弱学科教师和民族地区双语教师培养力度。加强县区乡村教师专业发展支持服务体系建设，强化县级教师发展机构在培训乡村教师方面的作用。培训内容针对教育教学实际需要，注重新课标新教材和教育观念、教学方法培训，赋予乡村教师更多选择权，提升乡村教师培训实效。推进乡村教师到城镇</w:t>
      </w:r>
      <w:proofErr w:type="gramStart"/>
      <w:r w:rsidRPr="00EC538C">
        <w:rPr>
          <w:rFonts w:ascii="微软雅黑" w:eastAsia="微软雅黑" w:hAnsi="微软雅黑" w:cs="Times New Roman" w:hint="eastAsia"/>
          <w:color w:val="4B4B4B"/>
          <w:kern w:val="0"/>
          <w:sz w:val="24"/>
          <w:szCs w:val="24"/>
        </w:rPr>
        <w:t>学校跟岗学习</w:t>
      </w:r>
      <w:proofErr w:type="gramEnd"/>
      <w:r w:rsidRPr="00EC538C">
        <w:rPr>
          <w:rFonts w:ascii="微软雅黑" w:eastAsia="微软雅黑" w:hAnsi="微软雅黑" w:cs="Times New Roman" w:hint="eastAsia"/>
          <w:color w:val="4B4B4B"/>
          <w:kern w:val="0"/>
          <w:sz w:val="24"/>
          <w:szCs w:val="24"/>
        </w:rPr>
        <w:t>，鼓励引导师范生到乡村学校进行教育实践。“国培计划”集中支持中西部乡村教师校长培训。</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四）师范生生源质量改善行动。依法保障和提高教师的地位待遇，通过多种方式吸引优质生源报考师范专业。改进完善教育部直属师范大学师范生免费教育政策，将“免费师范生”改称为“公费师范生”，履约任教服务</w:t>
      </w:r>
      <w:proofErr w:type="gramStart"/>
      <w:r w:rsidRPr="00EC538C">
        <w:rPr>
          <w:rFonts w:ascii="微软雅黑" w:eastAsia="微软雅黑" w:hAnsi="微软雅黑" w:cs="Times New Roman" w:hint="eastAsia"/>
          <w:color w:val="4B4B4B"/>
          <w:kern w:val="0"/>
          <w:sz w:val="24"/>
          <w:szCs w:val="24"/>
        </w:rPr>
        <w:t>期调整</w:t>
      </w:r>
      <w:proofErr w:type="gramEnd"/>
      <w:r w:rsidRPr="00EC538C">
        <w:rPr>
          <w:rFonts w:ascii="微软雅黑" w:eastAsia="微软雅黑" w:hAnsi="微软雅黑" w:cs="Times New Roman" w:hint="eastAsia"/>
          <w:color w:val="4B4B4B"/>
          <w:kern w:val="0"/>
          <w:sz w:val="24"/>
          <w:szCs w:val="24"/>
        </w:rPr>
        <w:t>为6年。推进地方积极开展师范生公费教育工作。积极推行初中毕业起点五年制专科层次幼儿园教师培养。部分办学条件好、教学质量高的高校师范专业实行提前批次录取。加大入校后二次选拔力度，鼓励设立面试考核环节，考察学生的综合素养和从教潜质，招收乐教</w:t>
      </w:r>
      <w:proofErr w:type="gramStart"/>
      <w:r w:rsidRPr="00EC538C">
        <w:rPr>
          <w:rFonts w:ascii="微软雅黑" w:eastAsia="微软雅黑" w:hAnsi="微软雅黑" w:cs="Times New Roman" w:hint="eastAsia"/>
          <w:color w:val="4B4B4B"/>
          <w:kern w:val="0"/>
          <w:sz w:val="24"/>
          <w:szCs w:val="24"/>
        </w:rPr>
        <w:t>适教善</w:t>
      </w:r>
      <w:proofErr w:type="gramEnd"/>
      <w:r w:rsidRPr="00EC538C">
        <w:rPr>
          <w:rFonts w:ascii="微软雅黑" w:eastAsia="微软雅黑" w:hAnsi="微软雅黑" w:cs="Times New Roman" w:hint="eastAsia"/>
          <w:color w:val="4B4B4B"/>
          <w:kern w:val="0"/>
          <w:sz w:val="24"/>
          <w:szCs w:val="24"/>
        </w:rPr>
        <w:t>教的优秀学生就读师范专业。鼓励高水平综合性大学成立教师教育学院，设立师范类专业，招收学科知识扎实、专业能力突出、具有教育情怀的学生，重点培养教育硕士，适度培养教育博士。建立健全符合教育行业特点的教师招聘办法，畅通优秀师范毕业生就业渠道。</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（五） “互联网+教师教育”创新行动。充分利用云计算、大数据、虚拟现实、人工智能等新技术，推进教师教育信息化教学服务平台建设和应用，推动以自主、合作、探究为主要特征的教学方式变革。启动实施教师教育在线开放课程建设计划，遴选认定200门教师教育国家精品在线开放课程，推动在线开放课程广泛应用共享。实施新一周期中小学教师信息技术应用能力提升工程，引领带动中小学教师校长将现代信息技术有效运用于教育教学和学校管理。研究制定</w:t>
      </w:r>
      <w:r w:rsidRPr="00EC538C">
        <w:rPr>
          <w:rFonts w:ascii="微软雅黑" w:eastAsia="微软雅黑" w:hAnsi="微软雅黑" w:cs="Times New Roman" w:hint="eastAsia"/>
          <w:color w:val="4B4B4B"/>
          <w:kern w:val="0"/>
          <w:sz w:val="24"/>
          <w:szCs w:val="24"/>
        </w:rPr>
        <w:lastRenderedPageBreak/>
        <w:t>师范生信息技术应用能力标准，提高师范</w:t>
      </w:r>
      <w:proofErr w:type="gramStart"/>
      <w:r w:rsidRPr="00EC538C">
        <w:rPr>
          <w:rFonts w:ascii="微软雅黑" w:eastAsia="微软雅黑" w:hAnsi="微软雅黑" w:cs="Times New Roman" w:hint="eastAsia"/>
          <w:color w:val="4B4B4B"/>
          <w:kern w:val="0"/>
          <w:sz w:val="24"/>
          <w:szCs w:val="24"/>
        </w:rPr>
        <w:t>生信息</w:t>
      </w:r>
      <w:proofErr w:type="gramEnd"/>
      <w:r w:rsidRPr="00EC538C">
        <w:rPr>
          <w:rFonts w:ascii="微软雅黑" w:eastAsia="微软雅黑" w:hAnsi="微软雅黑" w:cs="Times New Roman" w:hint="eastAsia"/>
          <w:color w:val="4B4B4B"/>
          <w:kern w:val="0"/>
          <w:sz w:val="24"/>
          <w:szCs w:val="24"/>
        </w:rPr>
        <w:t>素养和信息化教学能力。依托全国教师管理信息系统，加强在职教师培训信息化管理，建设教师专业发展“学分银行”。</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六）教师教育改革实验区建设行动。支持建设一批由地方政府统筹，教育、发展改革、财政、人力资源社会保障、编制等部门密切配合，高校与中小学协同开展教师培养培训、职前与职后相互衔接的教师教育改革实验区，带动区域教师教育综合改革，全面提升教师培养培训质量。深入实施“卓越教师培养计划”，建设一流师范院校和一流师范专业，分类推进教师培养模式改革。推动实践导向的教师教育课程内容改革和以师范生为中心的教学方法变革。发挥“国培计划”示范引领作用，加强教师培训需求诊断，优化培训内容，推动信息技术与教师培训的有机融合，实行线上线下相结合的混合式培训。实施新一周期职业院校教师素质提高计划，引领带动高层次“双师型”教师队伍建设。实施中小学名师名校长领航工程，培养造就一批具有较大社会影响力、能够在基础教育领域发挥示范引领作用的领军人才。加强教育行政部门对新教师入职教育的统筹规划，推行集中培训和</w:t>
      </w:r>
      <w:proofErr w:type="gramStart"/>
      <w:r w:rsidRPr="00EC538C">
        <w:rPr>
          <w:rFonts w:ascii="微软雅黑" w:eastAsia="微软雅黑" w:hAnsi="微软雅黑" w:cs="Times New Roman" w:hint="eastAsia"/>
          <w:color w:val="4B4B4B"/>
          <w:kern w:val="0"/>
          <w:sz w:val="24"/>
          <w:szCs w:val="24"/>
        </w:rPr>
        <w:t>跟岗实践</w:t>
      </w:r>
      <w:proofErr w:type="gramEnd"/>
      <w:r w:rsidRPr="00EC538C">
        <w:rPr>
          <w:rFonts w:ascii="微软雅黑" w:eastAsia="微软雅黑" w:hAnsi="微软雅黑" w:cs="Times New Roman" w:hint="eastAsia"/>
          <w:color w:val="4B4B4B"/>
          <w:kern w:val="0"/>
          <w:sz w:val="24"/>
          <w:szCs w:val="24"/>
        </w:rPr>
        <w:t>相结合的新教师入职教育模式。</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七）高水平教师教育基地建设行动。综合考虑区域布局、层次结构、师范生招生规模、校内教师教育资源整合、办学水平等因素，重点建设一批师范教育基地，发挥高水平、有特色教师教育院校的示范引领作用。加强教师教育院校师范</w:t>
      </w:r>
      <w:proofErr w:type="gramStart"/>
      <w:r w:rsidRPr="00EC538C">
        <w:rPr>
          <w:rFonts w:ascii="微软雅黑" w:eastAsia="微软雅黑" w:hAnsi="微软雅黑" w:cs="Times New Roman" w:hint="eastAsia"/>
          <w:color w:val="4B4B4B"/>
          <w:kern w:val="0"/>
          <w:sz w:val="24"/>
          <w:szCs w:val="24"/>
        </w:rPr>
        <w:t>生教育</w:t>
      </w:r>
      <w:proofErr w:type="gramEnd"/>
      <w:r w:rsidRPr="00EC538C">
        <w:rPr>
          <w:rFonts w:ascii="微软雅黑" w:eastAsia="微软雅黑" w:hAnsi="微软雅黑" w:cs="Times New Roman" w:hint="eastAsia"/>
          <w:color w:val="4B4B4B"/>
          <w:kern w:val="0"/>
          <w:sz w:val="24"/>
          <w:szCs w:val="24"/>
        </w:rPr>
        <w:t>教学技能实训平台建设。国家和地方有关重大项目充分考虑教师教育院校特色，在规划建设方面予以倾斜。推动高校有效整合校内资源，鼓励有条件的高校依托现有资源组建实体化的教师教育学院。制定县级教师发展中心建设标准。以优质市县教师发展机构为引领，推动整合教师培训机构、教研室、教科所（室）、</w:t>
      </w:r>
      <w:r w:rsidRPr="00EC538C">
        <w:rPr>
          <w:rFonts w:ascii="微软雅黑" w:eastAsia="微软雅黑" w:hAnsi="微软雅黑" w:cs="Times New Roman" w:hint="eastAsia"/>
          <w:color w:val="4B4B4B"/>
          <w:kern w:val="0"/>
          <w:sz w:val="24"/>
          <w:szCs w:val="24"/>
        </w:rPr>
        <w:lastRenderedPageBreak/>
        <w:t>电教馆的职能和资源，按照精简、统一、效能原则建设</w:t>
      </w:r>
      <w:proofErr w:type="gramStart"/>
      <w:r w:rsidRPr="00EC538C">
        <w:rPr>
          <w:rFonts w:ascii="微软雅黑" w:eastAsia="微软雅黑" w:hAnsi="微软雅黑" w:cs="Times New Roman" w:hint="eastAsia"/>
          <w:color w:val="4B4B4B"/>
          <w:kern w:val="0"/>
          <w:sz w:val="24"/>
          <w:szCs w:val="24"/>
        </w:rPr>
        <w:t>研</w:t>
      </w:r>
      <w:proofErr w:type="gramEnd"/>
      <w:r w:rsidRPr="00EC538C">
        <w:rPr>
          <w:rFonts w:ascii="微软雅黑" w:eastAsia="微软雅黑" w:hAnsi="微软雅黑" w:cs="Times New Roman" w:hint="eastAsia"/>
          <w:color w:val="4B4B4B"/>
          <w:kern w:val="0"/>
          <w:sz w:val="24"/>
          <w:szCs w:val="24"/>
        </w:rPr>
        <w:t>训一体的市县教师发展机构，更好地为区域教师专业发展服务。高校与地方教育行政部门依托优质中小学，开展师范生见习实习、</w:t>
      </w:r>
      <w:proofErr w:type="gramStart"/>
      <w:r w:rsidRPr="00EC538C">
        <w:rPr>
          <w:rFonts w:ascii="微软雅黑" w:eastAsia="微软雅黑" w:hAnsi="微软雅黑" w:cs="Times New Roman" w:hint="eastAsia"/>
          <w:color w:val="4B4B4B"/>
          <w:kern w:val="0"/>
          <w:sz w:val="24"/>
          <w:szCs w:val="24"/>
        </w:rPr>
        <w:t>教师跟岗培训</w:t>
      </w:r>
      <w:proofErr w:type="gramEnd"/>
      <w:r w:rsidRPr="00EC538C">
        <w:rPr>
          <w:rFonts w:ascii="微软雅黑" w:eastAsia="微软雅黑" w:hAnsi="微软雅黑" w:cs="Times New Roman" w:hint="eastAsia"/>
          <w:color w:val="4B4B4B"/>
          <w:kern w:val="0"/>
          <w:sz w:val="24"/>
          <w:szCs w:val="24"/>
        </w:rPr>
        <w:t>和教研教改工作。</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八）教师教育师资队伍优化行动。国家和省级教育行政部门加大对教师教育师资国内外访学支持力度。引导支持高校加大学科课程与教学论博士生培养力度。高校对教师教育师资的工作量计算、业绩考核等评价与管理，应充分体现教师教育工作特点。在岗位聘用、绩效工资分配等方面，对学科课程与教学</w:t>
      </w:r>
      <w:proofErr w:type="gramStart"/>
      <w:r w:rsidRPr="00EC538C">
        <w:rPr>
          <w:rFonts w:ascii="微软雅黑" w:eastAsia="微软雅黑" w:hAnsi="微软雅黑" w:cs="Times New Roman" w:hint="eastAsia"/>
          <w:color w:val="4B4B4B"/>
          <w:kern w:val="0"/>
          <w:sz w:val="24"/>
          <w:szCs w:val="24"/>
        </w:rPr>
        <w:t>论教师</w:t>
      </w:r>
      <w:proofErr w:type="gramEnd"/>
      <w:r w:rsidRPr="00EC538C">
        <w:rPr>
          <w:rFonts w:ascii="微软雅黑" w:eastAsia="微软雅黑" w:hAnsi="微软雅黑" w:cs="Times New Roman" w:hint="eastAsia"/>
          <w:color w:val="4B4B4B"/>
          <w:kern w:val="0"/>
          <w:sz w:val="24"/>
          <w:szCs w:val="24"/>
        </w:rPr>
        <w:t>实行倾斜政策。推进职业学校、高等学校与大中型企业共建共享师资，允许职业学校、高等学校依法依规自主聘请兼职教师，支持有条件的地方探索产业导师特设岗位计划。推进高校与中小学教师、企业人员双向交流。高校与中小学、高校与企业采取双向挂职、兼职等方式，建立教师教育师资共同体。实施骨干培训者队伍建设工程，开展万名专兼职教师培训者培训能力提升专项培训。组建中小学名师工作室、特级教师流动站、企业导师人才库，充分发挥教研员、学科带头人、特级教师、高技能人才在师范生培养和在职教师常态化研修中的重要作用。</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九）教师教育学科专业建设行动。建立健全教师教育本专科和研究生培养的学科专业体系。鼓励支持有条件的高校自主设置“教师教育学”二级学科，国家定期公布高校在教育学一级学科设立“教师教育学”二级学科情况，加强教师教育的学术研究和人才培养。明确教育实践的目标任务，构建全方位教育实践内容体系，与基础教育、职业教育课程教学改革相衔接，强化“三字</w:t>
      </w:r>
      <w:proofErr w:type="gramStart"/>
      <w:r w:rsidRPr="00EC538C">
        <w:rPr>
          <w:rFonts w:ascii="微软雅黑" w:eastAsia="微软雅黑" w:hAnsi="微软雅黑" w:cs="Times New Roman" w:hint="eastAsia"/>
          <w:color w:val="4B4B4B"/>
          <w:kern w:val="0"/>
          <w:sz w:val="24"/>
          <w:szCs w:val="24"/>
        </w:rPr>
        <w:t>一</w:t>
      </w:r>
      <w:proofErr w:type="gramEnd"/>
      <w:r w:rsidRPr="00EC538C">
        <w:rPr>
          <w:rFonts w:ascii="微软雅黑" w:eastAsia="微软雅黑" w:hAnsi="微软雅黑" w:cs="Times New Roman" w:hint="eastAsia"/>
          <w:color w:val="4B4B4B"/>
          <w:kern w:val="0"/>
          <w:sz w:val="24"/>
          <w:szCs w:val="24"/>
        </w:rPr>
        <w:t>话”等师范</w:t>
      </w:r>
      <w:proofErr w:type="gramStart"/>
      <w:r w:rsidRPr="00EC538C">
        <w:rPr>
          <w:rFonts w:ascii="微软雅黑" w:eastAsia="微软雅黑" w:hAnsi="微软雅黑" w:cs="Times New Roman" w:hint="eastAsia"/>
          <w:color w:val="4B4B4B"/>
          <w:kern w:val="0"/>
          <w:sz w:val="24"/>
          <w:szCs w:val="24"/>
        </w:rPr>
        <w:t>生教学</w:t>
      </w:r>
      <w:proofErr w:type="gramEnd"/>
      <w:r w:rsidRPr="00EC538C">
        <w:rPr>
          <w:rFonts w:ascii="微软雅黑" w:eastAsia="微软雅黑" w:hAnsi="微软雅黑" w:cs="Times New Roman" w:hint="eastAsia"/>
          <w:color w:val="4B4B4B"/>
          <w:kern w:val="0"/>
          <w:sz w:val="24"/>
          <w:szCs w:val="24"/>
        </w:rPr>
        <w:t>基本功训练。修订《教师教育课程标准》，组织编写或精选推荐一批主干课教材和精品课程资源。发布《中小学幼儿园教师培训课程指导标准》。开发中等职业学校教师教育课程和特殊教育课程资源。鼓励高校针对有从教意愿的非师</w:t>
      </w:r>
      <w:r w:rsidRPr="00EC538C">
        <w:rPr>
          <w:rFonts w:ascii="微软雅黑" w:eastAsia="微软雅黑" w:hAnsi="微软雅黑" w:cs="Times New Roman" w:hint="eastAsia"/>
          <w:color w:val="4B4B4B"/>
          <w:kern w:val="0"/>
          <w:sz w:val="24"/>
          <w:szCs w:val="24"/>
        </w:rPr>
        <w:lastRenderedPageBreak/>
        <w:t>范类专业学生开设教师教育课程，协助参加必要的教育实践。建设公益性教师教育在线学习中心，提供教师教育核心课程资源，供非师范类专业学生及社会人士修习。</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十）教师教育质量保障体系构建行动。建设全国教师教育基本状态数据库，建立教师培养培训质量监测机制，发布《中国教师教育质量年度报告》。出台《普通高等学校师范类专业认证标准》，启动开展师范类专业认证，将认证结果作为师范类专业准入、质量评价和教师资格认定的重要依据，并向社会公布。建立高校教师教育质量自我评估制度。建立健全教育专业学位认证评估制度和动态调整机制，推动完善教育硕士培养方案，聚焦中小学教师培养，逐步实现教育硕士培养与教师资格认定相衔接。建立健全教师培训质量评估制度。高校教学、学科评估要考虑教师教育院校的实际，将教师培养培训工作纳入评估体系，体现激励导向。</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w:t>
      </w:r>
      <w:r w:rsidRPr="00EC538C">
        <w:rPr>
          <w:rFonts w:ascii="微软雅黑" w:eastAsia="微软雅黑" w:hAnsi="微软雅黑" w:cs="Times New Roman" w:hint="eastAsia"/>
          <w:b/>
          <w:bCs/>
          <w:color w:val="4B4B4B"/>
          <w:kern w:val="0"/>
          <w:sz w:val="24"/>
          <w:szCs w:val="24"/>
          <w:bdr w:val="none" w:sz="0" w:space="0" w:color="auto" w:frame="1"/>
        </w:rPr>
        <w:t>四、组织实施</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一）明确责任主体。要加强组织领导，把振兴教师教育作为全面深化新时代教师队伍建设改革的重大举措，列入重要议事日程，切实将计划落到实处。教育行政部门要加强对教师教育工作的统筹管理和指导，发展改革、财政、人力资源社会保障、编制部门要密切配合、主动履职尽责，共同为教师教育振兴发展营造良好的法治和政策环境。成立国家教师教育咨询专家委员会，为教师教育重大决策提供有力支撑。</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（二）加强经费保障。要加大教师教育财政经费投入力度，提升教师教育保障水平。根据教师教育发展以及财力状况，适时提高师范</w:t>
      </w:r>
      <w:proofErr w:type="gramStart"/>
      <w:r w:rsidRPr="00EC538C">
        <w:rPr>
          <w:rFonts w:ascii="微软雅黑" w:eastAsia="微软雅黑" w:hAnsi="微软雅黑" w:cs="Times New Roman" w:hint="eastAsia"/>
          <w:color w:val="4B4B4B"/>
          <w:kern w:val="0"/>
          <w:sz w:val="24"/>
          <w:szCs w:val="24"/>
        </w:rPr>
        <w:t>生生均</w:t>
      </w:r>
      <w:proofErr w:type="gramEnd"/>
      <w:r w:rsidRPr="00EC538C">
        <w:rPr>
          <w:rFonts w:ascii="微软雅黑" w:eastAsia="微软雅黑" w:hAnsi="微软雅黑" w:cs="Times New Roman" w:hint="eastAsia"/>
          <w:color w:val="4B4B4B"/>
          <w:kern w:val="0"/>
          <w:sz w:val="24"/>
          <w:szCs w:val="24"/>
        </w:rPr>
        <w:t>拨款标准。教师培训经费要列入财政预算。幼儿园、中小学和中等职业学校按照年度公用经费预</w:t>
      </w:r>
      <w:r w:rsidRPr="00EC538C">
        <w:rPr>
          <w:rFonts w:ascii="微软雅黑" w:eastAsia="微软雅黑" w:hAnsi="微软雅黑" w:cs="Times New Roman" w:hint="eastAsia"/>
          <w:color w:val="4B4B4B"/>
          <w:kern w:val="0"/>
          <w:sz w:val="24"/>
          <w:szCs w:val="24"/>
        </w:rPr>
        <w:lastRenderedPageBreak/>
        <w:t>算总额的5%安排教师培训经费。中央财政通过现行政策和资金渠道对教师教育加大支持力度。在相关重大教育发展项目中将教师培养培训作为资金使用的重要方向。积极争取社会支持，建立多元化筹资渠道。</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三）开展督导检查。建立教师教育项目实施情况的跟踪、督导机制。国家有关部门组织开展对教师教育振兴行动计划实施情况的专项督导检查，确保各项政策举措落到实处。按照国家有关规定对先进典型予以表彰奖励，对实施不到位、敷衍塞责的，要追究相关部门负责人的领导责任。</w:t>
      </w:r>
    </w:p>
    <w:p w:rsidR="00EC538C" w:rsidRPr="00EC538C" w:rsidRDefault="00EC538C" w:rsidP="00EC538C">
      <w:pPr>
        <w:widowControl/>
        <w:jc w:val="left"/>
        <w:rPr>
          <w:rFonts w:ascii="微软雅黑" w:eastAsia="微软雅黑" w:hAnsi="微软雅黑" w:cs="Times New Roman" w:hint="eastAsia"/>
          <w:color w:val="4B4B4B"/>
          <w:kern w:val="0"/>
          <w:sz w:val="24"/>
          <w:szCs w:val="24"/>
        </w:rPr>
      </w:pPr>
      <w:r w:rsidRPr="00EC538C">
        <w:rPr>
          <w:rFonts w:ascii="微软雅黑" w:eastAsia="微软雅黑" w:hAnsi="微软雅黑" w:cs="Times New Roman" w:hint="eastAsia"/>
          <w:color w:val="4B4B4B"/>
          <w:kern w:val="0"/>
          <w:sz w:val="24"/>
          <w:szCs w:val="24"/>
        </w:rPr>
        <w:t xml:space="preserve">　　各省、自治区、直辖市要因地制宜提出符合本地实际的实施办法，将本计划的要求落到实处。</w:t>
      </w:r>
    </w:p>
    <w:p w:rsidR="00C73986" w:rsidRPr="00EC538C" w:rsidRDefault="00C73986"/>
    <w:sectPr w:rsidR="00C73986" w:rsidRPr="00EC53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8C"/>
    <w:rsid w:val="00005734"/>
    <w:rsid w:val="0000580A"/>
    <w:rsid w:val="000071C4"/>
    <w:rsid w:val="000111BB"/>
    <w:rsid w:val="00015BC1"/>
    <w:rsid w:val="00025CCC"/>
    <w:rsid w:val="00030281"/>
    <w:rsid w:val="00033699"/>
    <w:rsid w:val="00045A54"/>
    <w:rsid w:val="000515B9"/>
    <w:rsid w:val="00051B45"/>
    <w:rsid w:val="00051D27"/>
    <w:rsid w:val="000521EE"/>
    <w:rsid w:val="000530E6"/>
    <w:rsid w:val="0005760B"/>
    <w:rsid w:val="00063BBC"/>
    <w:rsid w:val="0006465A"/>
    <w:rsid w:val="00067F02"/>
    <w:rsid w:val="00084B39"/>
    <w:rsid w:val="0008563E"/>
    <w:rsid w:val="000868BA"/>
    <w:rsid w:val="000868CD"/>
    <w:rsid w:val="0009353A"/>
    <w:rsid w:val="00094EB4"/>
    <w:rsid w:val="0009732C"/>
    <w:rsid w:val="000A0FBE"/>
    <w:rsid w:val="000A1AA4"/>
    <w:rsid w:val="000A3453"/>
    <w:rsid w:val="000A74E0"/>
    <w:rsid w:val="000B1613"/>
    <w:rsid w:val="000B2272"/>
    <w:rsid w:val="000B3FF7"/>
    <w:rsid w:val="000B4540"/>
    <w:rsid w:val="000C7C74"/>
    <w:rsid w:val="000D351C"/>
    <w:rsid w:val="000D522C"/>
    <w:rsid w:val="000D7281"/>
    <w:rsid w:val="000E29DA"/>
    <w:rsid w:val="000E3B73"/>
    <w:rsid w:val="000F0D2A"/>
    <w:rsid w:val="000F7CD1"/>
    <w:rsid w:val="00101D2A"/>
    <w:rsid w:val="00102731"/>
    <w:rsid w:val="001043BF"/>
    <w:rsid w:val="00104703"/>
    <w:rsid w:val="00107DA7"/>
    <w:rsid w:val="001136D7"/>
    <w:rsid w:val="00117225"/>
    <w:rsid w:val="001214BA"/>
    <w:rsid w:val="00121571"/>
    <w:rsid w:val="00123F6B"/>
    <w:rsid w:val="0012766A"/>
    <w:rsid w:val="00133C09"/>
    <w:rsid w:val="00134A23"/>
    <w:rsid w:val="00146231"/>
    <w:rsid w:val="00150325"/>
    <w:rsid w:val="00153DF9"/>
    <w:rsid w:val="001541A8"/>
    <w:rsid w:val="00162B26"/>
    <w:rsid w:val="00165DD9"/>
    <w:rsid w:val="00167D17"/>
    <w:rsid w:val="00173649"/>
    <w:rsid w:val="00175AB4"/>
    <w:rsid w:val="00176288"/>
    <w:rsid w:val="00185A83"/>
    <w:rsid w:val="001924EA"/>
    <w:rsid w:val="001A0317"/>
    <w:rsid w:val="001A37AB"/>
    <w:rsid w:val="001A61B5"/>
    <w:rsid w:val="001B0076"/>
    <w:rsid w:val="001B7BC1"/>
    <w:rsid w:val="001C1838"/>
    <w:rsid w:val="001C2545"/>
    <w:rsid w:val="001D7C9C"/>
    <w:rsid w:val="001D7EB4"/>
    <w:rsid w:val="001E7750"/>
    <w:rsid w:val="001F3007"/>
    <w:rsid w:val="001F49B4"/>
    <w:rsid w:val="001F7A2C"/>
    <w:rsid w:val="00206747"/>
    <w:rsid w:val="00206C55"/>
    <w:rsid w:val="0020750D"/>
    <w:rsid w:val="00211B85"/>
    <w:rsid w:val="0022485F"/>
    <w:rsid w:val="00225319"/>
    <w:rsid w:val="002268A2"/>
    <w:rsid w:val="00230DDD"/>
    <w:rsid w:val="002427F5"/>
    <w:rsid w:val="00245DA4"/>
    <w:rsid w:val="0024751F"/>
    <w:rsid w:val="00254E99"/>
    <w:rsid w:val="0025741F"/>
    <w:rsid w:val="00257791"/>
    <w:rsid w:val="00257D6C"/>
    <w:rsid w:val="002610D7"/>
    <w:rsid w:val="00266FE9"/>
    <w:rsid w:val="00276608"/>
    <w:rsid w:val="00277A68"/>
    <w:rsid w:val="00280007"/>
    <w:rsid w:val="00281D95"/>
    <w:rsid w:val="00282B44"/>
    <w:rsid w:val="002832C2"/>
    <w:rsid w:val="0028366C"/>
    <w:rsid w:val="00283E38"/>
    <w:rsid w:val="00287748"/>
    <w:rsid w:val="00290825"/>
    <w:rsid w:val="00297ADB"/>
    <w:rsid w:val="002B2301"/>
    <w:rsid w:val="002B54FA"/>
    <w:rsid w:val="002C5AB1"/>
    <w:rsid w:val="002C6860"/>
    <w:rsid w:val="002D065F"/>
    <w:rsid w:val="002D27FB"/>
    <w:rsid w:val="002D2BB1"/>
    <w:rsid w:val="002D4887"/>
    <w:rsid w:val="002D4C58"/>
    <w:rsid w:val="002D7B7B"/>
    <w:rsid w:val="002E058A"/>
    <w:rsid w:val="002E19DD"/>
    <w:rsid w:val="002E27F4"/>
    <w:rsid w:val="002E425E"/>
    <w:rsid w:val="002E64A2"/>
    <w:rsid w:val="002F4635"/>
    <w:rsid w:val="002F783D"/>
    <w:rsid w:val="00300DEC"/>
    <w:rsid w:val="00304A44"/>
    <w:rsid w:val="0030671B"/>
    <w:rsid w:val="00314994"/>
    <w:rsid w:val="003177A0"/>
    <w:rsid w:val="003179A7"/>
    <w:rsid w:val="00320586"/>
    <w:rsid w:val="003226C8"/>
    <w:rsid w:val="00323DD4"/>
    <w:rsid w:val="00326621"/>
    <w:rsid w:val="00334352"/>
    <w:rsid w:val="00342750"/>
    <w:rsid w:val="003455AF"/>
    <w:rsid w:val="00371FC7"/>
    <w:rsid w:val="00372335"/>
    <w:rsid w:val="00382C99"/>
    <w:rsid w:val="00394472"/>
    <w:rsid w:val="00397123"/>
    <w:rsid w:val="003A0CF2"/>
    <w:rsid w:val="003A66C5"/>
    <w:rsid w:val="003B0B1F"/>
    <w:rsid w:val="003B7A65"/>
    <w:rsid w:val="003D213B"/>
    <w:rsid w:val="003D7D4A"/>
    <w:rsid w:val="003F144E"/>
    <w:rsid w:val="00400E19"/>
    <w:rsid w:val="00402176"/>
    <w:rsid w:val="00403A78"/>
    <w:rsid w:val="00405883"/>
    <w:rsid w:val="004063B6"/>
    <w:rsid w:val="004148B4"/>
    <w:rsid w:val="00421870"/>
    <w:rsid w:val="004236A3"/>
    <w:rsid w:val="004324F2"/>
    <w:rsid w:val="004369AB"/>
    <w:rsid w:val="00442F0A"/>
    <w:rsid w:val="00447121"/>
    <w:rsid w:val="00451E94"/>
    <w:rsid w:val="00453630"/>
    <w:rsid w:val="00455516"/>
    <w:rsid w:val="00457D91"/>
    <w:rsid w:val="004601BA"/>
    <w:rsid w:val="00473AC9"/>
    <w:rsid w:val="00480AE5"/>
    <w:rsid w:val="004829CB"/>
    <w:rsid w:val="00493010"/>
    <w:rsid w:val="004954EB"/>
    <w:rsid w:val="004A1B9F"/>
    <w:rsid w:val="004A4DD0"/>
    <w:rsid w:val="004A6FA1"/>
    <w:rsid w:val="004B1447"/>
    <w:rsid w:val="004B3223"/>
    <w:rsid w:val="004B70AD"/>
    <w:rsid w:val="004C1DE3"/>
    <w:rsid w:val="004C6AE2"/>
    <w:rsid w:val="004C72BE"/>
    <w:rsid w:val="004C7F37"/>
    <w:rsid w:val="004E799E"/>
    <w:rsid w:val="004F19B5"/>
    <w:rsid w:val="00502405"/>
    <w:rsid w:val="005073B1"/>
    <w:rsid w:val="005103C4"/>
    <w:rsid w:val="005111BA"/>
    <w:rsid w:val="00511EF3"/>
    <w:rsid w:val="005162AE"/>
    <w:rsid w:val="00520D48"/>
    <w:rsid w:val="00531D2D"/>
    <w:rsid w:val="005328C9"/>
    <w:rsid w:val="00532A5C"/>
    <w:rsid w:val="00537EDC"/>
    <w:rsid w:val="00542806"/>
    <w:rsid w:val="00543C5D"/>
    <w:rsid w:val="00545F4B"/>
    <w:rsid w:val="00551FBF"/>
    <w:rsid w:val="0055212B"/>
    <w:rsid w:val="00552CE1"/>
    <w:rsid w:val="005544BC"/>
    <w:rsid w:val="005551A2"/>
    <w:rsid w:val="00556F15"/>
    <w:rsid w:val="00560616"/>
    <w:rsid w:val="00565F96"/>
    <w:rsid w:val="0057125B"/>
    <w:rsid w:val="00575FBE"/>
    <w:rsid w:val="00580306"/>
    <w:rsid w:val="00587067"/>
    <w:rsid w:val="0059173E"/>
    <w:rsid w:val="005A2E3F"/>
    <w:rsid w:val="005A656D"/>
    <w:rsid w:val="005A6CB2"/>
    <w:rsid w:val="005C1287"/>
    <w:rsid w:val="005D0829"/>
    <w:rsid w:val="005E173B"/>
    <w:rsid w:val="005E4102"/>
    <w:rsid w:val="005F2D37"/>
    <w:rsid w:val="005F3224"/>
    <w:rsid w:val="005F4607"/>
    <w:rsid w:val="00604B14"/>
    <w:rsid w:val="00606269"/>
    <w:rsid w:val="00611429"/>
    <w:rsid w:val="00611B5E"/>
    <w:rsid w:val="0061530F"/>
    <w:rsid w:val="00615999"/>
    <w:rsid w:val="006219F8"/>
    <w:rsid w:val="00623540"/>
    <w:rsid w:val="00624CCA"/>
    <w:rsid w:val="00624E03"/>
    <w:rsid w:val="00626437"/>
    <w:rsid w:val="00626A7B"/>
    <w:rsid w:val="00626F41"/>
    <w:rsid w:val="006278B7"/>
    <w:rsid w:val="00627F13"/>
    <w:rsid w:val="00650B94"/>
    <w:rsid w:val="00651204"/>
    <w:rsid w:val="006548E6"/>
    <w:rsid w:val="00654CC3"/>
    <w:rsid w:val="00655C80"/>
    <w:rsid w:val="00662E8C"/>
    <w:rsid w:val="00662FE1"/>
    <w:rsid w:val="00666CA5"/>
    <w:rsid w:val="00681C49"/>
    <w:rsid w:val="00697F08"/>
    <w:rsid w:val="006A2551"/>
    <w:rsid w:val="006A5456"/>
    <w:rsid w:val="006B11DB"/>
    <w:rsid w:val="006B7B46"/>
    <w:rsid w:val="006C5BCD"/>
    <w:rsid w:val="006C71C5"/>
    <w:rsid w:val="006D2850"/>
    <w:rsid w:val="006D420A"/>
    <w:rsid w:val="006D730E"/>
    <w:rsid w:val="006E1E77"/>
    <w:rsid w:val="006F03D7"/>
    <w:rsid w:val="006F4FB2"/>
    <w:rsid w:val="00700408"/>
    <w:rsid w:val="00701737"/>
    <w:rsid w:val="0070296D"/>
    <w:rsid w:val="00702EF9"/>
    <w:rsid w:val="007062FE"/>
    <w:rsid w:val="007219D1"/>
    <w:rsid w:val="00726030"/>
    <w:rsid w:val="00726282"/>
    <w:rsid w:val="00733129"/>
    <w:rsid w:val="007407C3"/>
    <w:rsid w:val="0075454A"/>
    <w:rsid w:val="007556A8"/>
    <w:rsid w:val="0076058C"/>
    <w:rsid w:val="007617AB"/>
    <w:rsid w:val="00762572"/>
    <w:rsid w:val="00770A44"/>
    <w:rsid w:val="00770AE4"/>
    <w:rsid w:val="007724D9"/>
    <w:rsid w:val="00773BB5"/>
    <w:rsid w:val="0077460F"/>
    <w:rsid w:val="0078032F"/>
    <w:rsid w:val="007828EA"/>
    <w:rsid w:val="007904FA"/>
    <w:rsid w:val="007A1A48"/>
    <w:rsid w:val="007B0F48"/>
    <w:rsid w:val="007B6D31"/>
    <w:rsid w:val="007C3FEE"/>
    <w:rsid w:val="007D41E7"/>
    <w:rsid w:val="007D6F28"/>
    <w:rsid w:val="007E3A9A"/>
    <w:rsid w:val="007F3E1D"/>
    <w:rsid w:val="00800E4F"/>
    <w:rsid w:val="00802F7D"/>
    <w:rsid w:val="008076AF"/>
    <w:rsid w:val="00833333"/>
    <w:rsid w:val="00833F61"/>
    <w:rsid w:val="00835A3C"/>
    <w:rsid w:val="00837540"/>
    <w:rsid w:val="00841C2E"/>
    <w:rsid w:val="00841C6F"/>
    <w:rsid w:val="008431BE"/>
    <w:rsid w:val="00845421"/>
    <w:rsid w:val="0085072C"/>
    <w:rsid w:val="00850EC2"/>
    <w:rsid w:val="0085641C"/>
    <w:rsid w:val="008608CC"/>
    <w:rsid w:val="00860A14"/>
    <w:rsid w:val="00861514"/>
    <w:rsid w:val="00865A2C"/>
    <w:rsid w:val="008677D8"/>
    <w:rsid w:val="0086780C"/>
    <w:rsid w:val="008707ED"/>
    <w:rsid w:val="00871A66"/>
    <w:rsid w:val="00872810"/>
    <w:rsid w:val="00882267"/>
    <w:rsid w:val="00882A4F"/>
    <w:rsid w:val="008855F3"/>
    <w:rsid w:val="0088794E"/>
    <w:rsid w:val="00890DCF"/>
    <w:rsid w:val="008A0F8C"/>
    <w:rsid w:val="008A2FDE"/>
    <w:rsid w:val="008C51C6"/>
    <w:rsid w:val="008D6FFA"/>
    <w:rsid w:val="008E6645"/>
    <w:rsid w:val="008E716C"/>
    <w:rsid w:val="008F4F0C"/>
    <w:rsid w:val="00901814"/>
    <w:rsid w:val="00912DD1"/>
    <w:rsid w:val="0091316B"/>
    <w:rsid w:val="00923562"/>
    <w:rsid w:val="00923F86"/>
    <w:rsid w:val="009259F0"/>
    <w:rsid w:val="00950ED4"/>
    <w:rsid w:val="00951E55"/>
    <w:rsid w:val="00953B6C"/>
    <w:rsid w:val="00954143"/>
    <w:rsid w:val="00961A89"/>
    <w:rsid w:val="00964337"/>
    <w:rsid w:val="0098172D"/>
    <w:rsid w:val="0098421F"/>
    <w:rsid w:val="00985288"/>
    <w:rsid w:val="00987855"/>
    <w:rsid w:val="0099495D"/>
    <w:rsid w:val="00994E64"/>
    <w:rsid w:val="009A0185"/>
    <w:rsid w:val="009B366B"/>
    <w:rsid w:val="009B5BCD"/>
    <w:rsid w:val="009D2773"/>
    <w:rsid w:val="009F4ABE"/>
    <w:rsid w:val="009F4C68"/>
    <w:rsid w:val="009F50A7"/>
    <w:rsid w:val="009F7252"/>
    <w:rsid w:val="00A03AB2"/>
    <w:rsid w:val="00A067A7"/>
    <w:rsid w:val="00A06F52"/>
    <w:rsid w:val="00A106E8"/>
    <w:rsid w:val="00A142E4"/>
    <w:rsid w:val="00A14E03"/>
    <w:rsid w:val="00A20DA4"/>
    <w:rsid w:val="00A24D47"/>
    <w:rsid w:val="00A26548"/>
    <w:rsid w:val="00A460C0"/>
    <w:rsid w:val="00A47C5F"/>
    <w:rsid w:val="00A505FC"/>
    <w:rsid w:val="00A53854"/>
    <w:rsid w:val="00A55751"/>
    <w:rsid w:val="00A5645A"/>
    <w:rsid w:val="00A64756"/>
    <w:rsid w:val="00A711BD"/>
    <w:rsid w:val="00A7433B"/>
    <w:rsid w:val="00A76354"/>
    <w:rsid w:val="00A764C4"/>
    <w:rsid w:val="00A83C97"/>
    <w:rsid w:val="00A91323"/>
    <w:rsid w:val="00A91B6A"/>
    <w:rsid w:val="00A9423D"/>
    <w:rsid w:val="00A97DE5"/>
    <w:rsid w:val="00AA20AB"/>
    <w:rsid w:val="00AA36F4"/>
    <w:rsid w:val="00AC2CB0"/>
    <w:rsid w:val="00AC7A35"/>
    <w:rsid w:val="00AD15B3"/>
    <w:rsid w:val="00AD339B"/>
    <w:rsid w:val="00AD57AF"/>
    <w:rsid w:val="00AD5E14"/>
    <w:rsid w:val="00AD6339"/>
    <w:rsid w:val="00AE632D"/>
    <w:rsid w:val="00AE7FE1"/>
    <w:rsid w:val="00AF00CC"/>
    <w:rsid w:val="00AF5FD3"/>
    <w:rsid w:val="00AF6644"/>
    <w:rsid w:val="00B0149B"/>
    <w:rsid w:val="00B01B43"/>
    <w:rsid w:val="00B120A0"/>
    <w:rsid w:val="00B139FE"/>
    <w:rsid w:val="00B17440"/>
    <w:rsid w:val="00B17CD5"/>
    <w:rsid w:val="00B23812"/>
    <w:rsid w:val="00B23D34"/>
    <w:rsid w:val="00B27BB9"/>
    <w:rsid w:val="00B303ED"/>
    <w:rsid w:val="00B314F3"/>
    <w:rsid w:val="00B33B3E"/>
    <w:rsid w:val="00B34323"/>
    <w:rsid w:val="00B5336D"/>
    <w:rsid w:val="00B56183"/>
    <w:rsid w:val="00B569F2"/>
    <w:rsid w:val="00B60FAB"/>
    <w:rsid w:val="00B63BAA"/>
    <w:rsid w:val="00B8055D"/>
    <w:rsid w:val="00B85430"/>
    <w:rsid w:val="00B90C54"/>
    <w:rsid w:val="00B9111C"/>
    <w:rsid w:val="00B91133"/>
    <w:rsid w:val="00B9217F"/>
    <w:rsid w:val="00B953D5"/>
    <w:rsid w:val="00B96028"/>
    <w:rsid w:val="00B96461"/>
    <w:rsid w:val="00BA03FD"/>
    <w:rsid w:val="00BA0CF0"/>
    <w:rsid w:val="00BB7595"/>
    <w:rsid w:val="00BB7720"/>
    <w:rsid w:val="00BC0750"/>
    <w:rsid w:val="00BC626A"/>
    <w:rsid w:val="00BD65F2"/>
    <w:rsid w:val="00BE6549"/>
    <w:rsid w:val="00BF5B9F"/>
    <w:rsid w:val="00BF62B6"/>
    <w:rsid w:val="00BF68C6"/>
    <w:rsid w:val="00C03A12"/>
    <w:rsid w:val="00C064B7"/>
    <w:rsid w:val="00C14406"/>
    <w:rsid w:val="00C161EA"/>
    <w:rsid w:val="00C21429"/>
    <w:rsid w:val="00C21DDE"/>
    <w:rsid w:val="00C7334D"/>
    <w:rsid w:val="00C73986"/>
    <w:rsid w:val="00C81619"/>
    <w:rsid w:val="00C83823"/>
    <w:rsid w:val="00C844BD"/>
    <w:rsid w:val="00C900C1"/>
    <w:rsid w:val="00C93BD3"/>
    <w:rsid w:val="00C96D7B"/>
    <w:rsid w:val="00CB2A69"/>
    <w:rsid w:val="00CB2C98"/>
    <w:rsid w:val="00CB6069"/>
    <w:rsid w:val="00CC0712"/>
    <w:rsid w:val="00CC2856"/>
    <w:rsid w:val="00CC3B7D"/>
    <w:rsid w:val="00CE392E"/>
    <w:rsid w:val="00CE4042"/>
    <w:rsid w:val="00CE5B9F"/>
    <w:rsid w:val="00CE717C"/>
    <w:rsid w:val="00CF2F30"/>
    <w:rsid w:val="00CF5831"/>
    <w:rsid w:val="00CF7EFF"/>
    <w:rsid w:val="00D02AD8"/>
    <w:rsid w:val="00D02DC7"/>
    <w:rsid w:val="00D03175"/>
    <w:rsid w:val="00D05C1A"/>
    <w:rsid w:val="00D06758"/>
    <w:rsid w:val="00D15039"/>
    <w:rsid w:val="00D174AB"/>
    <w:rsid w:val="00D26A5C"/>
    <w:rsid w:val="00D32C0F"/>
    <w:rsid w:val="00D330FB"/>
    <w:rsid w:val="00D34133"/>
    <w:rsid w:val="00D35A05"/>
    <w:rsid w:val="00D42F86"/>
    <w:rsid w:val="00D445D7"/>
    <w:rsid w:val="00D55A4C"/>
    <w:rsid w:val="00D56CA4"/>
    <w:rsid w:val="00D613B5"/>
    <w:rsid w:val="00D75494"/>
    <w:rsid w:val="00D8245C"/>
    <w:rsid w:val="00D824C0"/>
    <w:rsid w:val="00D84679"/>
    <w:rsid w:val="00D937EB"/>
    <w:rsid w:val="00D96D35"/>
    <w:rsid w:val="00DA1040"/>
    <w:rsid w:val="00DA2D08"/>
    <w:rsid w:val="00DB01B1"/>
    <w:rsid w:val="00DC3243"/>
    <w:rsid w:val="00DC43BB"/>
    <w:rsid w:val="00DD0BE7"/>
    <w:rsid w:val="00DE4939"/>
    <w:rsid w:val="00DE77C1"/>
    <w:rsid w:val="00DF2102"/>
    <w:rsid w:val="00DF4645"/>
    <w:rsid w:val="00E026B4"/>
    <w:rsid w:val="00E05967"/>
    <w:rsid w:val="00E063A8"/>
    <w:rsid w:val="00E306E7"/>
    <w:rsid w:val="00E3402F"/>
    <w:rsid w:val="00E43233"/>
    <w:rsid w:val="00E506D3"/>
    <w:rsid w:val="00E54080"/>
    <w:rsid w:val="00E548DE"/>
    <w:rsid w:val="00E55988"/>
    <w:rsid w:val="00E55DB3"/>
    <w:rsid w:val="00E5697E"/>
    <w:rsid w:val="00E60118"/>
    <w:rsid w:val="00E61143"/>
    <w:rsid w:val="00E64799"/>
    <w:rsid w:val="00E657A9"/>
    <w:rsid w:val="00E6775E"/>
    <w:rsid w:val="00E7761D"/>
    <w:rsid w:val="00E84176"/>
    <w:rsid w:val="00E87B52"/>
    <w:rsid w:val="00E87EE3"/>
    <w:rsid w:val="00E905BC"/>
    <w:rsid w:val="00EA5448"/>
    <w:rsid w:val="00EB4E7D"/>
    <w:rsid w:val="00EC538C"/>
    <w:rsid w:val="00ED1898"/>
    <w:rsid w:val="00ED64B3"/>
    <w:rsid w:val="00ED6B43"/>
    <w:rsid w:val="00EE139A"/>
    <w:rsid w:val="00EE1B0A"/>
    <w:rsid w:val="00EE3886"/>
    <w:rsid w:val="00EE69E7"/>
    <w:rsid w:val="00EF438C"/>
    <w:rsid w:val="00F03DCA"/>
    <w:rsid w:val="00F04B28"/>
    <w:rsid w:val="00F04BC8"/>
    <w:rsid w:val="00F15A37"/>
    <w:rsid w:val="00F21096"/>
    <w:rsid w:val="00F21A1E"/>
    <w:rsid w:val="00F23EC0"/>
    <w:rsid w:val="00F3004F"/>
    <w:rsid w:val="00F30D82"/>
    <w:rsid w:val="00F31138"/>
    <w:rsid w:val="00F32AC7"/>
    <w:rsid w:val="00F32C98"/>
    <w:rsid w:val="00F44D2C"/>
    <w:rsid w:val="00F46050"/>
    <w:rsid w:val="00F52DF8"/>
    <w:rsid w:val="00F62FFF"/>
    <w:rsid w:val="00F6391F"/>
    <w:rsid w:val="00F63F50"/>
    <w:rsid w:val="00F74C18"/>
    <w:rsid w:val="00F8103C"/>
    <w:rsid w:val="00F87166"/>
    <w:rsid w:val="00F90CB6"/>
    <w:rsid w:val="00F97CFD"/>
    <w:rsid w:val="00FA1CA0"/>
    <w:rsid w:val="00FB149E"/>
    <w:rsid w:val="00FC1DA5"/>
    <w:rsid w:val="00FC1F10"/>
    <w:rsid w:val="00FC4AFA"/>
    <w:rsid w:val="00FC5FAC"/>
    <w:rsid w:val="00FD2B2A"/>
    <w:rsid w:val="00FD3E33"/>
    <w:rsid w:val="00FD41A9"/>
    <w:rsid w:val="00FD7598"/>
    <w:rsid w:val="00FE04D1"/>
    <w:rsid w:val="00FE5A8F"/>
    <w:rsid w:val="00FE69A8"/>
    <w:rsid w:val="00FF0CD1"/>
    <w:rsid w:val="00FF0FBD"/>
    <w:rsid w:val="00FF3F62"/>
    <w:rsid w:val="00FF51DF"/>
    <w:rsid w:val="00FF7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C53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538C"/>
    <w:rPr>
      <w:rFonts w:ascii="宋体" w:eastAsia="宋体" w:hAnsi="宋体" w:cs="宋体"/>
      <w:b/>
      <w:bCs/>
      <w:kern w:val="36"/>
      <w:sz w:val="48"/>
      <w:szCs w:val="48"/>
    </w:rPr>
  </w:style>
  <w:style w:type="paragraph" w:styleId="a3">
    <w:name w:val="Normal (Web)"/>
    <w:basedOn w:val="a"/>
    <w:uiPriority w:val="99"/>
    <w:semiHidden/>
    <w:unhideWhenUsed/>
    <w:rsid w:val="00EC538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53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C53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538C"/>
    <w:rPr>
      <w:rFonts w:ascii="宋体" w:eastAsia="宋体" w:hAnsi="宋体" w:cs="宋体"/>
      <w:b/>
      <w:bCs/>
      <w:kern w:val="36"/>
      <w:sz w:val="48"/>
      <w:szCs w:val="48"/>
    </w:rPr>
  </w:style>
  <w:style w:type="paragraph" w:styleId="a3">
    <w:name w:val="Normal (Web)"/>
    <w:basedOn w:val="a"/>
    <w:uiPriority w:val="99"/>
    <w:semiHidden/>
    <w:unhideWhenUsed/>
    <w:rsid w:val="00EC538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5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081607">
      <w:bodyDiv w:val="1"/>
      <w:marLeft w:val="0"/>
      <w:marRight w:val="0"/>
      <w:marTop w:val="0"/>
      <w:marBottom w:val="0"/>
      <w:divBdr>
        <w:top w:val="none" w:sz="0" w:space="0" w:color="auto"/>
        <w:left w:val="none" w:sz="0" w:space="0" w:color="auto"/>
        <w:bottom w:val="none" w:sz="0" w:space="0" w:color="auto"/>
        <w:right w:val="none" w:sz="0" w:space="0" w:color="auto"/>
      </w:divBdr>
      <w:divsChild>
        <w:div w:id="995260708">
          <w:marLeft w:val="0"/>
          <w:marRight w:val="0"/>
          <w:marTop w:val="0"/>
          <w:marBottom w:val="0"/>
          <w:divBdr>
            <w:top w:val="none" w:sz="0" w:space="0" w:color="auto"/>
            <w:left w:val="none" w:sz="0" w:space="0" w:color="auto"/>
            <w:bottom w:val="none" w:sz="0" w:space="0" w:color="auto"/>
            <w:right w:val="none" w:sz="0" w:space="0" w:color="auto"/>
          </w:divBdr>
          <w:divsChild>
            <w:div w:id="15421339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892</Words>
  <Characters>5091</Characters>
  <Application>Microsoft Office Word</Application>
  <DocSecurity>0</DocSecurity>
  <Lines>42</Lines>
  <Paragraphs>11</Paragraphs>
  <ScaleCrop>false</ScaleCrop>
  <Company>MS</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刘青</dc:creator>
  <cp:lastModifiedBy>刘青</cp:lastModifiedBy>
  <cp:revision>1</cp:revision>
  <dcterms:created xsi:type="dcterms:W3CDTF">2018-04-28T03:23:00Z</dcterms:created>
  <dcterms:modified xsi:type="dcterms:W3CDTF">2018-04-28T03:26:00Z</dcterms:modified>
</cp:coreProperties>
</file>